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sz w:val="48"/>
          <w:szCs w:val="48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PŘIHLÁŠKA „</w:t>
      </w:r>
      <w:r w:rsidDel="00000000" w:rsidR="00000000" w:rsidRPr="00000000">
        <w:rPr>
          <w:rFonts w:ascii="Candara" w:cs="Candara" w:eastAsia="Candara" w:hAnsi="Candara"/>
          <w:b w:val="1"/>
          <w:sz w:val="48"/>
          <w:szCs w:val="48"/>
          <w:rtl w:val="0"/>
        </w:rPr>
        <w:t xml:space="preserve">MOUDROST TĚLA 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sz w:val="48"/>
          <w:szCs w:val="48"/>
        </w:rPr>
      </w:pPr>
      <w:r w:rsidDel="00000000" w:rsidR="00000000" w:rsidRPr="00000000">
        <w:rPr>
          <w:rFonts w:ascii="Candara" w:cs="Candara" w:eastAsia="Candara" w:hAnsi="Candara"/>
          <w:b w:val="1"/>
          <w:sz w:val="48"/>
          <w:szCs w:val="48"/>
          <w:rtl w:val="0"/>
        </w:rPr>
        <w:t xml:space="preserve">PRO KAŽDODENNÍ ŽIVOT“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Roční výcvik v procesově orientované psychologii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OSOBNÍ ÚDAJE</w:t>
      </w:r>
    </w:p>
    <w:tbl>
      <w:tblPr>
        <w:tblStyle w:val="Table1"/>
        <w:tblW w:w="104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100"/>
        <w:gridCol w:w="8333"/>
        <w:tblGridChange w:id="0">
          <w:tblGrid>
            <w:gridCol w:w="2100"/>
            <w:gridCol w:w="83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3366" w:space="0" w:sz="36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 a příjmení</w:t>
            </w:r>
          </w:p>
        </w:tc>
        <w:tc>
          <w:tcPr>
            <w:tcBorders>
              <w:top w:color="993366" w:space="0" w:sz="36" w:val="single"/>
              <w:lef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 </w:t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Telefonní číslo</w:t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ÚDAJE O VÝCVIKU</w:t>
      </w:r>
    </w:p>
    <w:tbl>
      <w:tblPr>
        <w:tblStyle w:val="Table2"/>
        <w:tblW w:w="1057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074"/>
        <w:gridCol w:w="8503"/>
        <w:tblGridChange w:id="0">
          <w:tblGrid>
            <w:gridCol w:w="2074"/>
            <w:gridCol w:w="85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3366" w:space="0" w:sz="3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Cena výcviku</w:t>
            </w:r>
          </w:p>
        </w:tc>
        <w:tc>
          <w:tcPr>
            <w:tcBorders>
              <w:top w:color="993366" w:space="0" w:sz="3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44.500 Kč </w:t>
            </w: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(nejsme plátci DPH).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Zahrnuje dny otevřených seminářů, tréninkové dny, supervizi peer skupin.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Cena nezahrnuje ubytování, stravu, poplatek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 za přijímací řízení</w:t>
            </w: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, platby za individuální sezení a mentoring v rámci výcviku.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Cenu lze uhradit najednou či po dohodě rozdělit do splátek v průběhu výcviku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Přijímací poplatek 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Poplatek za přijímací proces ve výši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9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Kč uhraďte prosím do termínu přijímacího </w:t>
            </w: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rozhovoru na účet Institutu procesově orientované práce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č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íslo účtu: 2900061203/2010 FIO banka.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(Do poznámky uveďte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Vycvik2024</w:t>
            </w: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_vase jmeno.) Děkujeme.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Následně Vám zašleme účetní doklad.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70" w:right="17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ndara" w:cs="Candara" w:eastAsia="Candara" w:hAnsi="Candar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Vyplněnou přihlášku zašlete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společně s níže uvedenými náležitostmi nejpozději do 31. 10 2023 emailem na rokpop@processwork.cz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Přihláška je považována za kompletní, pokud jsou k ní přiloženy: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561" w:hanging="357"/>
        <w:jc w:val="both"/>
        <w:rPr>
          <w:rFonts w:ascii="Candara" w:cs="Candara" w:eastAsia="Candara" w:hAnsi="Candar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Reflexe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561" w:hanging="357"/>
        <w:jc w:val="both"/>
        <w:rPr>
          <w:rFonts w:ascii="Candara" w:cs="Candara" w:eastAsia="Candara" w:hAnsi="Candar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Životopis včetně fotografie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561" w:hanging="357"/>
        <w:jc w:val="both"/>
        <w:rPr>
          <w:rFonts w:ascii="Candara" w:cs="Candara" w:eastAsia="Candara" w:hAnsi="Candar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Scan/fotku </w:t>
      </w:r>
      <w:r w:rsidDel="00000000" w:rsidR="00000000" w:rsidRPr="00000000">
        <w:rPr>
          <w:rFonts w:ascii="Candara" w:cs="Candara" w:eastAsia="Candara" w:hAnsi="Candar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osvědčení ze semináře procesově orientované práce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Upozornění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Jednoletý výcvik je důvěrné prostředí pro zážitkové vzdělávání dospělých zaměřené na osobní a zejména profesní rozvoj.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Nenahrazuje terapii.</w:t>
      </w:r>
      <w:r w:rsidDel="00000000" w:rsidR="00000000" w:rsidRPr="00000000">
        <w:rPr>
          <w:rFonts w:ascii="Candara" w:cs="Candara" w:eastAsia="Candara" w:hAnsi="Candara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Výcvikové aktivity mohou vyvolat emoční a psychický stres. Pokud jste v minulosti nebo v současnosti měli psychické potíže, které mohou ovlivnit vaši účast, zvažte, zda je výcvik v tuto chvíli pro Vás vhodný. Podáním přihlášky souhlasíte, že přebíráte odpovědnost za své prožitky a osobní pohodu a v případě potřeby vyhledáte vhodnou pomoc. </w:t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Ochrana osobních údajů</w:t>
      </w:r>
    </w:p>
    <w:tbl>
      <w:tblPr>
        <w:tblStyle w:val="Table3"/>
        <w:tblW w:w="1044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0449"/>
        <w:tblGridChange w:id="0">
          <w:tblGrid>
            <w:gridCol w:w="104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3366" w:space="0" w:sz="3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Účastník/účastnice tímto poskytuje Institutu procesově orientované práce, z. s. (dále „IPOP), jako správci údajů, v souladu se zákonem č. 101/2000 Sb., v platném znění (zákon o ochraně osobních údajů a změně některých zákonů, dále jen „zákon“) a Nařízení Evropského parlamentu a Rady (EU) 2016/679, obecného nařízení o ochraně osobních údajů souhlas se zpracováním osobních údajů v rozsahu výše uvedených pro evidenci zájemce o kurz. Tímto rovněž potvrzuje, že byl/a seznámen/a se všemi vyplněnými částmi tohoto formuláře, a že všechny údaje jsou přesné a pravdivé a poskytovány dobrovolně. Rovněž tímto souhlasí se zařazením poskytnutých osobních údajů po dobu neurčitou do databáze účastníků/účastnic IPOP. V poskytnutí osobních údajů je účastníkovi/účastnici poskytnuto v písemné podobě poučení v souladu s čl. 13 Nařízení, týkající se zpracování osobních údajů. Účastník/účastnice je oprávněn svůj souhlas se zpracováním osobních údajů kdykoliv odvolat. Správcem údajů je Institut procesově orientované práce, z. ú., Na Petynce 717/46,169 00 Praha 6, IČO: 228 189 36. Správce prohlašuje, že poskytnuté údaje budou použity pouze pro interní účely IPOP, z.ú.</w:t>
            </w:r>
            <w:r w:rsidDel="00000000" w:rsidR="00000000" w:rsidRPr="00000000">
              <w:rPr>
                <w:rFonts w:ascii="Candara" w:cs="Candara" w:eastAsia="Candara" w:hAnsi="Candara"/>
                <w:i w:val="0"/>
                <w:smallCaps w:val="0"/>
                <w:strike w:val="0"/>
                <w:color w:val="d9302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1" w:firstLine="0"/>
        <w:jc w:val="both"/>
        <w:rPr>
          <w:rFonts w:ascii="Candara" w:cs="Candara" w:eastAsia="Candara" w:hAnsi="Candar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701" w:left="851" w:right="851" w:header="284" w:footer="4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 procesově orientované práce         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www.processwork.cz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155700" cy="97726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5700" cy="977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48"/>
      <w:szCs w:val="32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harChar11">
    <w:name w:val="Char Char11"/>
    <w:next w:val="CharChar11"/>
    <w:autoRedefine w:val="0"/>
    <w:hidden w:val="0"/>
    <w:qFormat w:val="0"/>
    <w:rPr>
      <w:rFonts w:ascii="Cambria" w:cs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CharChar10">
    <w:name w:val="Char Char10"/>
    <w:next w:val="CharChar10"/>
    <w:autoRedefine w:val="0"/>
    <w:hidden w:val="0"/>
    <w:qFormat w:val="0"/>
    <w:rPr>
      <w:rFonts w:ascii="Cambria" w:cs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harChar9">
    <w:name w:val="Char Char9"/>
    <w:next w:val="CharChar9"/>
    <w:autoRedefine w:val="0"/>
    <w:hidden w:val="0"/>
    <w:qFormat w:val="0"/>
    <w:rPr>
      <w:rFonts w:ascii="Cambria" w:cs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CharChar8">
    <w:name w:val="Char Char8"/>
    <w:next w:val="CharChar8"/>
    <w:autoRedefine w:val="0"/>
    <w:hidden w:val="0"/>
    <w:qFormat w:val="0"/>
    <w:rPr>
      <w:rFonts w:ascii="Calibri" w:cs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harChar7">
    <w:name w:val="Char Char7"/>
    <w:next w:val="CharChar7"/>
    <w:autoRedefine w:val="0"/>
    <w:hidden w:val="0"/>
    <w:qFormat w:val="0"/>
    <w:rPr>
      <w:rFonts w:ascii="Calibri" w:cs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CharChar6">
    <w:name w:val="Char Char6"/>
    <w:next w:val="CharChar6"/>
    <w:autoRedefine w:val="0"/>
    <w:hidden w:val="0"/>
    <w:qFormat w:val="0"/>
    <w:rPr>
      <w:rFonts w:ascii="Cambria" w:cs="Cambria" w:hAnsi="Cambria"/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CharChar5">
    <w:name w:val="Char Char5"/>
    <w:next w:val="CharChar5"/>
    <w:autoRedefine w:val="0"/>
    <w:hidden w:val="0"/>
    <w:qFormat w:val="0"/>
    <w:rPr>
      <w:rFonts w:ascii="Cambria" w:cs="Cambria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CharChar4">
    <w:name w:val="Char Char4"/>
    <w:next w:val="CharChar4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CharChar3">
    <w:name w:val="Char Char3"/>
    <w:next w:val="CharChar3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Základnítextodsazený3">
    <w:name w:val="Základní text odsazený 3"/>
    <w:basedOn w:val="Normální"/>
    <w:next w:val="Základnítextodsazený3"/>
    <w:autoRedefine w:val="0"/>
    <w:hidden w:val="0"/>
    <w:qFormat w:val="0"/>
    <w:pPr>
      <w:widowControl w:val="0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CharChar2">
    <w:name w:val="Char Char2"/>
    <w:next w:val="CharChar2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ledovanýodkaz">
    <w:name w:val="Sledovaný odkaz"/>
    <w:next w:val="Sledovanýodkaz"/>
    <w:autoRedefine w:val="0"/>
    <w:hidden w:val="0"/>
    <w:qFormat w:val="0"/>
    <w:rPr>
      <w:rFonts w:ascii="Times New Roman" w:cs="Times New Roman" w:hAnsi="Times New Roman"/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CharChar1">
    <w:name w:val="Char Char1"/>
    <w:next w:val="CharChar1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character" w:styleId="CharChar">
    <w:name w:val="Char Char"/>
    <w:next w:val="Char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ong_text1">
    <w:name w:val="long_text1"/>
    <w:next w:val="long_text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ilný1">
    <w:name w:val="Silný1"/>
    <w:next w:val="Silný1"/>
    <w:autoRedefine w:val="0"/>
    <w:hidden w:val="0"/>
    <w:qFormat w:val="0"/>
    <w:rPr>
      <w:rFonts w:ascii="Lucida Grande" w:hAnsi="Lucida Grande"/>
      <w:b w:val="1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freebirdformviewercomponentsquestionbaserequiredasterisk">
    <w:name w:val="freebirdformviewercomponentsquestionbaserequiredasterisk"/>
    <w:basedOn w:val="Standardnípísmoodstavce"/>
    <w:next w:val="freebirdformviewercomponentsquestionbaserequiredasteris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Standardnípísmoodstav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rocesswork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8vxsJj5pTEn5kIKWkw5BiO7tJw==">CgMxLjA4AHIhMUJxd3VITmlJWURJbkRpSUxucHNKNHRjUm1CdVM4NjVV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2021-02-03T08:23:00Z</dcterms:created>
  <dc:creator>jezekjir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